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7D" w:rsidRDefault="00037BFB" w:rsidP="00483E7D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C35820" w:rsidRDefault="00C35820" w:rsidP="00483E7D">
      <w:pPr>
        <w:ind w:left="5664" w:firstLine="708"/>
        <w:jc w:val="center"/>
        <w:rPr>
          <w:rFonts w:cs="Calibri"/>
        </w:rPr>
      </w:pPr>
      <w:r w:rsidRPr="00EE6837">
        <w:rPr>
          <w:rFonts w:cs="Calibri"/>
        </w:rPr>
        <w:t xml:space="preserve">Warszawa, dnia </w:t>
      </w:r>
      <w:r>
        <w:rPr>
          <w:rFonts w:cs="Calibri"/>
        </w:rPr>
        <w:t xml:space="preserve"> </w:t>
      </w:r>
      <w:r w:rsidR="009F2A59">
        <w:rPr>
          <w:rFonts w:cs="Calibri"/>
        </w:rPr>
        <w:t>02.09</w:t>
      </w:r>
      <w:r w:rsidR="002A35F3">
        <w:rPr>
          <w:rFonts w:cs="Calibri"/>
        </w:rPr>
        <w:t>.2016r</w:t>
      </w:r>
    </w:p>
    <w:p w:rsidR="009F2A59" w:rsidRPr="00B6261A" w:rsidRDefault="002A35F3" w:rsidP="009F2A59">
      <w:pPr>
        <w:spacing w:after="66" w:line="240" w:lineRule="auto"/>
        <w:jc w:val="both"/>
      </w:pPr>
      <w:r w:rsidRPr="00DF6B57">
        <w:rPr>
          <w:rFonts w:cs="Calibri"/>
        </w:rPr>
        <w:t>dot. postępowania o numerze ZP/0</w:t>
      </w:r>
      <w:r w:rsidR="009F2A59">
        <w:rPr>
          <w:rFonts w:cs="Calibri"/>
        </w:rPr>
        <w:t>6</w:t>
      </w:r>
      <w:r w:rsidRPr="00DF6B57">
        <w:rPr>
          <w:rFonts w:cs="Calibri"/>
        </w:rPr>
        <w:t>/201</w:t>
      </w:r>
      <w:r>
        <w:rPr>
          <w:rFonts w:cs="Calibri"/>
        </w:rPr>
        <w:t>6</w:t>
      </w:r>
      <w:r w:rsidRPr="00DF6B57">
        <w:rPr>
          <w:rFonts w:cs="Calibri"/>
        </w:rPr>
        <w:t xml:space="preserve"> pn. </w:t>
      </w:r>
      <w:r w:rsidR="009F2A59" w:rsidRPr="00B6261A">
        <w:t>Rewitalizacja pierwszego piętra głównej klatki schodowej</w:t>
      </w:r>
      <w:r w:rsidR="009F2A59" w:rsidRPr="00B6261A">
        <w:rPr>
          <w:b/>
        </w:rPr>
        <w:t xml:space="preserve"> </w:t>
      </w:r>
      <w:r w:rsidR="009F2A59" w:rsidRPr="00B6261A">
        <w:t>w budynku Zachęty – Narodowej Galerii Sztuki w Warszawie pl. Małachowskiego 3</w:t>
      </w:r>
    </w:p>
    <w:p w:rsidR="009F2A59" w:rsidRPr="00B6261A" w:rsidRDefault="009F2A59" w:rsidP="009F2A59">
      <w:pPr>
        <w:spacing w:line="240" w:lineRule="auto"/>
      </w:pPr>
      <w:r w:rsidRPr="00B6261A">
        <w:t xml:space="preserve">Ogłoszenie nr 300828 - 2016 z dnia 2016-08-11 r. </w:t>
      </w:r>
    </w:p>
    <w:p w:rsidR="004B543E" w:rsidRPr="00B47BFF" w:rsidRDefault="004B543E" w:rsidP="004B543E">
      <w:pPr>
        <w:pStyle w:val="Bezodstpw"/>
        <w:jc w:val="right"/>
        <w:rPr>
          <w:rFonts w:cs="Calibri"/>
          <w:b/>
          <w:u w:val="single"/>
        </w:rPr>
      </w:pPr>
    </w:p>
    <w:p w:rsidR="00B47BFF" w:rsidRPr="003E4B5E" w:rsidRDefault="00B47BFF" w:rsidP="003E4B5E">
      <w:pPr>
        <w:pStyle w:val="Bezodstpw"/>
        <w:rPr>
          <w:b/>
          <w:u w:val="single"/>
        </w:rPr>
      </w:pPr>
      <w:r w:rsidRPr="003E4B5E">
        <w:rPr>
          <w:b/>
          <w:u w:val="single"/>
        </w:rPr>
        <w:t>ZAMAWIAJĄCY:</w:t>
      </w:r>
    </w:p>
    <w:p w:rsidR="00B47BFF" w:rsidRPr="00200986" w:rsidRDefault="00B47BFF" w:rsidP="003E4B5E">
      <w:pPr>
        <w:pStyle w:val="Bezodstpw"/>
      </w:pPr>
      <w:r w:rsidRPr="00200986">
        <w:t xml:space="preserve">Zachęta </w:t>
      </w:r>
      <w:r>
        <w:t xml:space="preserve"> – </w:t>
      </w:r>
      <w:r w:rsidRPr="00200986">
        <w:t>Narodowa Galeria Sztuki w Warszawie</w:t>
      </w:r>
    </w:p>
    <w:p w:rsidR="00B47BFF" w:rsidRPr="00200986" w:rsidRDefault="00B47BFF" w:rsidP="003E4B5E">
      <w:pPr>
        <w:pStyle w:val="Bezodstpw"/>
      </w:pPr>
      <w:r>
        <w:t>p</w:t>
      </w:r>
      <w:r w:rsidRPr="00200986">
        <w:t>lac Małachowskiego 3</w:t>
      </w:r>
    </w:p>
    <w:p w:rsidR="00B47BFF" w:rsidRPr="00200986" w:rsidRDefault="00B47BFF" w:rsidP="003E4B5E">
      <w:pPr>
        <w:pStyle w:val="Bezodstpw"/>
      </w:pPr>
      <w:r w:rsidRPr="00200986">
        <w:t>00 – 916 Warszawa</w:t>
      </w:r>
    </w:p>
    <w:p w:rsidR="00B47BFF" w:rsidRDefault="00B47BFF" w:rsidP="00B47BFF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:rsidR="00B47BFF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  <w:r w:rsidRPr="00200986">
        <w:rPr>
          <w:rFonts w:cs="Calibri"/>
          <w:b/>
          <w:bCs/>
        </w:rPr>
        <w:t xml:space="preserve">ZAWIADOMIENIE </w:t>
      </w:r>
      <w:r>
        <w:rPr>
          <w:rFonts w:cs="Calibri"/>
          <w:b/>
          <w:bCs/>
        </w:rPr>
        <w:t>O WYNIKACH POSTĘPOWANIA O UDZIELENIE ZAMÓWIENIA PUBLICZNEGO</w:t>
      </w: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</w:p>
    <w:p w:rsidR="00B47BFF" w:rsidRPr="00C4163E" w:rsidRDefault="00B47BFF" w:rsidP="004B543E">
      <w:pPr>
        <w:pStyle w:val="Bezodstpw"/>
        <w:jc w:val="both"/>
      </w:pPr>
      <w:r w:rsidRPr="00C4163E">
        <w:t xml:space="preserve">Na podstawie art. 92 ust. </w:t>
      </w:r>
      <w:r w:rsidR="00AE1A20">
        <w:t xml:space="preserve">2 </w:t>
      </w:r>
      <w:r w:rsidRPr="00C4163E">
        <w:t>ustawy z dnia 29 stycznia 2004 r. – Prawo zamówień publicznych</w:t>
      </w:r>
    </w:p>
    <w:p w:rsidR="00B47BFF" w:rsidRPr="00C4163E" w:rsidRDefault="00B47BFF" w:rsidP="004B543E">
      <w:pPr>
        <w:pStyle w:val="Bezodstpw"/>
        <w:jc w:val="both"/>
      </w:pPr>
      <w:r w:rsidRPr="00C4163E">
        <w:t>(</w:t>
      </w:r>
      <w:r w:rsidR="00D17B9B" w:rsidRPr="00334B65">
        <w:rPr>
          <w:rFonts w:cs="Arial"/>
        </w:rPr>
        <w:t xml:space="preserve">Dz. U. z </w:t>
      </w:r>
      <w:r w:rsidR="00D17B9B">
        <w:rPr>
          <w:rFonts w:cs="Arial"/>
        </w:rPr>
        <w:t xml:space="preserve">2015, poz. 2164 </w:t>
      </w:r>
      <w:r w:rsidR="00D17B9B" w:rsidRPr="00334B65">
        <w:rPr>
          <w:rFonts w:cs="Arial"/>
        </w:rPr>
        <w:t>ze zm.</w:t>
      </w:r>
      <w:r w:rsidRPr="00C4163E">
        <w:t>), Zamawiający informuje, o wynikach postępowania o udzielenie zamówienia publicznego.</w:t>
      </w:r>
    </w:p>
    <w:p w:rsidR="00B47BFF" w:rsidRDefault="00B47BFF" w:rsidP="004B543E">
      <w:pPr>
        <w:pStyle w:val="Akapitzlist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D17B9B" w:rsidRPr="004E1FBB" w:rsidRDefault="00B47BFF" w:rsidP="00D17B9B">
      <w:pPr>
        <w:jc w:val="both"/>
        <w:rPr>
          <w:rFonts w:cs="Tahoma"/>
        </w:rPr>
      </w:pPr>
      <w:r w:rsidRPr="002A35F3">
        <w:rPr>
          <w:rFonts w:asciiTheme="minorHAnsi" w:hAnsiTheme="minorHAnsi" w:cs="Calibri"/>
        </w:rPr>
        <w:t>Zamawiający informuje, że spośród złożonych ofert wybrał ofertę najkorzystniejszą</w:t>
      </w:r>
      <w:r w:rsidR="00483E7D" w:rsidRPr="002A35F3">
        <w:rPr>
          <w:rFonts w:asciiTheme="minorHAnsi" w:hAnsiTheme="minorHAnsi" w:cs="Calibri"/>
        </w:rPr>
        <w:t xml:space="preserve"> </w:t>
      </w:r>
      <w:r w:rsidRPr="002A35F3">
        <w:rPr>
          <w:rFonts w:asciiTheme="minorHAnsi" w:hAnsiTheme="minorHAnsi" w:cs="Calibri"/>
        </w:rPr>
        <w:t>–</w:t>
      </w:r>
      <w:r w:rsidR="00483E7D" w:rsidRPr="002A35F3">
        <w:rPr>
          <w:rFonts w:asciiTheme="minorHAnsi" w:hAnsiTheme="minorHAnsi" w:cs="Calibri"/>
        </w:rPr>
        <w:t xml:space="preserve"> </w:t>
      </w:r>
      <w:r w:rsidRPr="002A35F3">
        <w:rPr>
          <w:rFonts w:asciiTheme="minorHAnsi" w:hAnsiTheme="minorHAnsi" w:cs="Calibri"/>
        </w:rPr>
        <w:t xml:space="preserve">ofertę Nr </w:t>
      </w:r>
      <w:r w:rsidR="00D17B9B">
        <w:rPr>
          <w:rFonts w:asciiTheme="minorHAnsi" w:hAnsiTheme="minorHAnsi" w:cs="Calibri"/>
        </w:rPr>
        <w:t>3</w:t>
      </w:r>
      <w:r w:rsidRPr="002A35F3">
        <w:rPr>
          <w:rFonts w:asciiTheme="minorHAnsi" w:hAnsiTheme="minorHAnsi" w:cs="Calibri"/>
        </w:rPr>
        <w:t xml:space="preserve"> </w:t>
      </w:r>
      <w:r w:rsidRPr="002A35F3">
        <w:rPr>
          <w:rFonts w:asciiTheme="minorHAnsi" w:hAnsiTheme="minorHAnsi"/>
        </w:rPr>
        <w:t>złożoną przez wykonawcę</w:t>
      </w:r>
      <w:r w:rsidR="002A35F3">
        <w:t xml:space="preserve">: </w:t>
      </w:r>
      <w:proofErr w:type="spellStart"/>
      <w:r w:rsidR="00D17B9B" w:rsidRPr="00C55274">
        <w:rPr>
          <w:rFonts w:cs="Tahoma"/>
          <w:b/>
        </w:rPr>
        <w:t>Arbor</w:t>
      </w:r>
      <w:proofErr w:type="spellEnd"/>
      <w:r w:rsidR="00D17B9B" w:rsidRPr="00C55274">
        <w:rPr>
          <w:rFonts w:cs="Tahoma"/>
          <w:b/>
        </w:rPr>
        <w:t xml:space="preserve"> Jerzy Gęsicki</w:t>
      </w:r>
      <w:r w:rsidR="00D17B9B">
        <w:rPr>
          <w:rFonts w:cs="Tahoma"/>
        </w:rPr>
        <w:t xml:space="preserve"> Konserwacja Obiektów Zabytkowych – Budownictwo Współczesne, ul. J. Waldorffa 14, 01-494 Warszawa</w:t>
      </w:r>
    </w:p>
    <w:p w:rsidR="00D17B9B" w:rsidRPr="00E57F12" w:rsidRDefault="00D17B9B" w:rsidP="00E57F12">
      <w:pPr>
        <w:pStyle w:val="Bezodstpw"/>
        <w:rPr>
          <w:b/>
        </w:rPr>
      </w:pPr>
      <w:r w:rsidRPr="00E57F12">
        <w:rPr>
          <w:b/>
        </w:rPr>
        <w:t xml:space="preserve">Uzasadnienie : </w:t>
      </w:r>
    </w:p>
    <w:p w:rsidR="00D17B9B" w:rsidRPr="00C444A2" w:rsidRDefault="00D17B9B" w:rsidP="00E57F12">
      <w:pPr>
        <w:pStyle w:val="Bezodstpw"/>
      </w:pPr>
      <w:r w:rsidRPr="000770E3">
        <w:t xml:space="preserve">Oferta najkorzystniejsza, </w:t>
      </w:r>
      <w:r>
        <w:t xml:space="preserve">uzyskała najwyższą ocenę punktową  w kryteriach oceny oferty - </w:t>
      </w:r>
      <w:r>
        <w:rPr>
          <w:rFonts w:cs="Calibri"/>
        </w:rPr>
        <w:t>100 pkt.</w:t>
      </w:r>
    </w:p>
    <w:p w:rsidR="00D17B9B" w:rsidRPr="000770E3" w:rsidRDefault="00D17B9B" w:rsidP="00E57F12">
      <w:pPr>
        <w:pStyle w:val="Bezodstpw"/>
      </w:pPr>
      <w:r w:rsidRPr="000770E3">
        <w:t>Wykonawca spełnia warunki udziału w postępowaniu określone przez Zamawiającego w Specyfikacji Istotnych Warunków Zamówienia</w:t>
      </w:r>
      <w:r>
        <w:t xml:space="preserve"> oraz nie podlega wykluczeniu.</w:t>
      </w:r>
    </w:p>
    <w:p w:rsidR="004B543E" w:rsidRPr="00C444A2" w:rsidRDefault="004B543E" w:rsidP="002A35F3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2A35F3" w:rsidRPr="000413F7" w:rsidRDefault="002A35F3" w:rsidP="002A35F3">
      <w:pPr>
        <w:jc w:val="center"/>
        <w:rPr>
          <w:b/>
        </w:rPr>
      </w:pPr>
      <w:r w:rsidRPr="000413F7">
        <w:rPr>
          <w:b/>
        </w:rPr>
        <w:t>INFORMACJA O ZŁOŻONYCH OFERTACH</w:t>
      </w:r>
    </w:p>
    <w:p w:rsidR="002A35F3" w:rsidRDefault="00D17B9B" w:rsidP="002A35F3">
      <w:pPr>
        <w:jc w:val="both"/>
      </w:pPr>
      <w:r>
        <w:t>W</w:t>
      </w:r>
      <w:r w:rsidR="002A35F3" w:rsidRPr="000413F7">
        <w:t xml:space="preserve"> postępowaniu złożono </w:t>
      </w:r>
      <w:r>
        <w:t>4</w:t>
      </w:r>
      <w:r w:rsidR="002A35F3" w:rsidRPr="000413F7">
        <w:t xml:space="preserve"> ofert</w:t>
      </w:r>
      <w:r w:rsidR="002A35F3">
        <w:t>y.</w:t>
      </w:r>
    </w:p>
    <w:p w:rsidR="00D17B9B" w:rsidRDefault="00D17B9B" w:rsidP="00D17B9B">
      <w:pPr>
        <w:pStyle w:val="Style3"/>
        <w:widowControl/>
        <w:tabs>
          <w:tab w:val="left" w:pos="725"/>
        </w:tabs>
        <w:spacing w:before="43"/>
        <w:ind w:left="365"/>
        <w:rPr>
          <w:rStyle w:val="FontStyle11"/>
        </w:rPr>
      </w:pPr>
      <w:r>
        <w:rPr>
          <w:rStyle w:val="FontStyle11"/>
        </w:rPr>
        <w:t>1)</w:t>
      </w:r>
      <w:r>
        <w:rPr>
          <w:rStyle w:val="FontStyle11"/>
          <w:rFonts w:ascii="Times New Roman" w:hAnsi="Times New Roman"/>
          <w:sz w:val="20"/>
          <w:szCs w:val="20"/>
        </w:rPr>
        <w:tab/>
      </w:r>
      <w:r>
        <w:rPr>
          <w:rStyle w:val="FontStyle11"/>
        </w:rPr>
        <w:t>Oferta Nr 1</w:t>
      </w:r>
    </w:p>
    <w:p w:rsidR="00D17B9B" w:rsidRDefault="00D17B9B" w:rsidP="00D17B9B">
      <w:pPr>
        <w:pStyle w:val="Style6"/>
        <w:widowControl/>
        <w:rPr>
          <w:rStyle w:val="FontStyle11"/>
        </w:rPr>
      </w:pPr>
      <w:r>
        <w:rPr>
          <w:rStyle w:val="FontStyle12"/>
        </w:rPr>
        <w:t xml:space="preserve">PHU „HELION" Artur </w:t>
      </w:r>
      <w:proofErr w:type="spellStart"/>
      <w:r>
        <w:rPr>
          <w:rStyle w:val="FontStyle12"/>
        </w:rPr>
        <w:t>Dziechciarski</w:t>
      </w:r>
      <w:proofErr w:type="spellEnd"/>
      <w:r>
        <w:rPr>
          <w:rStyle w:val="FontStyle12"/>
        </w:rPr>
        <w:t xml:space="preserve">, </w:t>
      </w:r>
      <w:r>
        <w:rPr>
          <w:rStyle w:val="FontStyle11"/>
        </w:rPr>
        <w:t xml:space="preserve">Al. Dwudziestolatków 4 lok. 18, 02-157 Warszawa </w:t>
      </w:r>
    </w:p>
    <w:p w:rsidR="0072685D" w:rsidRDefault="0072685D" w:rsidP="00D17B9B">
      <w:pPr>
        <w:pStyle w:val="Style3"/>
        <w:widowControl/>
        <w:tabs>
          <w:tab w:val="left" w:pos="725"/>
        </w:tabs>
        <w:spacing w:before="29" w:line="264" w:lineRule="exact"/>
        <w:ind w:left="365"/>
        <w:rPr>
          <w:rStyle w:val="FontStyle11"/>
        </w:rPr>
      </w:pPr>
    </w:p>
    <w:p w:rsidR="00D17B9B" w:rsidRDefault="00D17B9B" w:rsidP="00D17B9B">
      <w:pPr>
        <w:pStyle w:val="Style3"/>
        <w:widowControl/>
        <w:tabs>
          <w:tab w:val="left" w:pos="725"/>
        </w:tabs>
        <w:spacing w:before="29" w:line="264" w:lineRule="exact"/>
        <w:ind w:left="365"/>
        <w:rPr>
          <w:rStyle w:val="FontStyle11"/>
        </w:rPr>
      </w:pPr>
      <w:r>
        <w:rPr>
          <w:rStyle w:val="FontStyle11"/>
        </w:rPr>
        <w:t>2)</w:t>
      </w:r>
      <w:r>
        <w:rPr>
          <w:rStyle w:val="FontStyle11"/>
          <w:rFonts w:ascii="Times New Roman" w:hAnsi="Times New Roman"/>
          <w:sz w:val="20"/>
          <w:szCs w:val="20"/>
        </w:rPr>
        <w:tab/>
      </w:r>
      <w:r>
        <w:rPr>
          <w:rStyle w:val="FontStyle11"/>
        </w:rPr>
        <w:t>Oferta Nr 2</w:t>
      </w:r>
    </w:p>
    <w:p w:rsidR="00D17B9B" w:rsidRDefault="00D17B9B" w:rsidP="00D17B9B">
      <w:pPr>
        <w:pStyle w:val="Style3"/>
        <w:widowControl/>
        <w:tabs>
          <w:tab w:val="left" w:pos="725"/>
        </w:tabs>
        <w:spacing w:before="29" w:line="264" w:lineRule="exact"/>
        <w:ind w:left="365"/>
        <w:rPr>
          <w:rStyle w:val="FontStyle11"/>
        </w:rPr>
      </w:pPr>
    </w:p>
    <w:p w:rsidR="00D17B9B" w:rsidRDefault="00D17B9B" w:rsidP="00D17B9B">
      <w:pPr>
        <w:pStyle w:val="Style1"/>
        <w:widowControl/>
        <w:spacing w:before="5" w:line="264" w:lineRule="exact"/>
        <w:ind w:left="708"/>
        <w:jc w:val="left"/>
        <w:rPr>
          <w:rStyle w:val="FontStyle11"/>
        </w:rPr>
      </w:pPr>
      <w:r>
        <w:rPr>
          <w:rStyle w:val="FontStyle12"/>
        </w:rPr>
        <w:t xml:space="preserve">„PORTAL-BIS" Budownictwo Ogólne Konserwacja i Rekonstrukcja Obiektów Zabytkowych Piotr Brzeziński, </w:t>
      </w:r>
      <w:r>
        <w:rPr>
          <w:rStyle w:val="FontStyle11"/>
        </w:rPr>
        <w:t xml:space="preserve">AI. Jerozolimskie </w:t>
      </w:r>
      <w:r w:rsidR="00E57F12">
        <w:rPr>
          <w:rStyle w:val="FontStyle11"/>
        </w:rPr>
        <w:t>1</w:t>
      </w:r>
      <w:r>
        <w:rPr>
          <w:rStyle w:val="FontStyle11"/>
        </w:rPr>
        <w:t>98L, m</w:t>
      </w:r>
      <w:r w:rsidR="00E57F12">
        <w:rPr>
          <w:rStyle w:val="FontStyle11"/>
        </w:rPr>
        <w:t>.</w:t>
      </w:r>
      <w:r>
        <w:rPr>
          <w:rStyle w:val="FontStyle11"/>
        </w:rPr>
        <w:t xml:space="preserve">3, 02-486 Warszawa </w:t>
      </w:r>
    </w:p>
    <w:p w:rsidR="00D17B9B" w:rsidRDefault="00D17B9B" w:rsidP="00D17B9B">
      <w:pPr>
        <w:pStyle w:val="Style3"/>
        <w:widowControl/>
        <w:spacing w:line="240" w:lineRule="exact"/>
        <w:ind w:left="365"/>
        <w:rPr>
          <w:sz w:val="20"/>
          <w:szCs w:val="20"/>
        </w:rPr>
      </w:pPr>
    </w:p>
    <w:p w:rsidR="00D17B9B" w:rsidRDefault="00D17B9B" w:rsidP="00D17B9B">
      <w:pPr>
        <w:pStyle w:val="Style3"/>
        <w:widowControl/>
        <w:tabs>
          <w:tab w:val="left" w:pos="725"/>
        </w:tabs>
        <w:spacing w:before="29" w:line="264" w:lineRule="exact"/>
        <w:ind w:left="365"/>
        <w:rPr>
          <w:rStyle w:val="FontStyle11"/>
        </w:rPr>
      </w:pPr>
      <w:r>
        <w:rPr>
          <w:rStyle w:val="FontStyle11"/>
        </w:rPr>
        <w:t>3)</w:t>
      </w:r>
      <w:r>
        <w:rPr>
          <w:rStyle w:val="FontStyle11"/>
          <w:rFonts w:ascii="Times New Roman" w:hAnsi="Times New Roman"/>
          <w:sz w:val="20"/>
          <w:szCs w:val="20"/>
        </w:rPr>
        <w:tab/>
      </w:r>
      <w:r>
        <w:rPr>
          <w:rStyle w:val="FontStyle11"/>
        </w:rPr>
        <w:t>Oferta Nr 3</w:t>
      </w:r>
    </w:p>
    <w:p w:rsidR="00D17B9B" w:rsidRDefault="00D17B9B" w:rsidP="00D17B9B">
      <w:pPr>
        <w:pStyle w:val="Style3"/>
        <w:widowControl/>
        <w:tabs>
          <w:tab w:val="left" w:pos="725"/>
        </w:tabs>
        <w:spacing w:before="29" w:line="264" w:lineRule="exact"/>
        <w:ind w:left="365"/>
        <w:rPr>
          <w:rStyle w:val="FontStyle11"/>
        </w:rPr>
      </w:pPr>
    </w:p>
    <w:p w:rsidR="00D17B9B" w:rsidRDefault="00D17B9B" w:rsidP="00D17B9B">
      <w:pPr>
        <w:pStyle w:val="Style1"/>
        <w:widowControl/>
        <w:spacing w:line="264" w:lineRule="exact"/>
        <w:ind w:left="730"/>
        <w:jc w:val="left"/>
        <w:rPr>
          <w:rStyle w:val="FontStyle12"/>
        </w:rPr>
      </w:pPr>
      <w:r>
        <w:rPr>
          <w:rStyle w:val="FontStyle12"/>
        </w:rPr>
        <w:t>ARBOR Jerzy Gęsicki Konserwacja Obiektów Zabytkowych, Budownictwo Współczesne,</w:t>
      </w:r>
    </w:p>
    <w:p w:rsidR="00D17B9B" w:rsidRDefault="00D17B9B" w:rsidP="00D17B9B">
      <w:pPr>
        <w:pStyle w:val="Style6"/>
        <w:widowControl/>
        <w:spacing w:line="264" w:lineRule="exact"/>
        <w:ind w:left="739" w:firstLine="0"/>
        <w:rPr>
          <w:rStyle w:val="FontStyle11"/>
        </w:rPr>
      </w:pPr>
      <w:r>
        <w:rPr>
          <w:rStyle w:val="FontStyle11"/>
        </w:rPr>
        <w:t>ul. Waldorffa 14, 01-494 Warszawa</w:t>
      </w:r>
    </w:p>
    <w:p w:rsidR="00D17B9B" w:rsidRDefault="00D17B9B" w:rsidP="00D17B9B">
      <w:pPr>
        <w:pStyle w:val="Style3"/>
        <w:widowControl/>
        <w:spacing w:line="240" w:lineRule="exact"/>
        <w:ind w:left="365"/>
        <w:rPr>
          <w:sz w:val="20"/>
          <w:szCs w:val="20"/>
        </w:rPr>
      </w:pPr>
    </w:p>
    <w:p w:rsidR="00D17B9B" w:rsidRDefault="00D17B9B" w:rsidP="00D17B9B">
      <w:pPr>
        <w:pStyle w:val="Style3"/>
        <w:widowControl/>
        <w:tabs>
          <w:tab w:val="left" w:pos="725"/>
        </w:tabs>
        <w:spacing w:before="29" w:line="264" w:lineRule="exact"/>
        <w:ind w:left="365"/>
        <w:rPr>
          <w:rStyle w:val="FontStyle11"/>
        </w:rPr>
      </w:pPr>
      <w:r>
        <w:rPr>
          <w:rStyle w:val="FontStyle11"/>
        </w:rPr>
        <w:t>4)</w:t>
      </w:r>
      <w:r>
        <w:rPr>
          <w:rStyle w:val="FontStyle11"/>
          <w:rFonts w:ascii="Times New Roman" w:hAnsi="Times New Roman"/>
          <w:sz w:val="20"/>
          <w:szCs w:val="20"/>
        </w:rPr>
        <w:tab/>
      </w:r>
      <w:r>
        <w:rPr>
          <w:rStyle w:val="FontStyle11"/>
        </w:rPr>
        <w:t>Oferta Nr 4</w:t>
      </w:r>
    </w:p>
    <w:p w:rsidR="00D17B9B" w:rsidRDefault="00D17B9B" w:rsidP="00D17B9B">
      <w:pPr>
        <w:pStyle w:val="Style3"/>
        <w:widowControl/>
        <w:tabs>
          <w:tab w:val="left" w:pos="725"/>
        </w:tabs>
        <w:spacing w:before="29" w:line="264" w:lineRule="exact"/>
        <w:ind w:left="365"/>
        <w:rPr>
          <w:rStyle w:val="FontStyle11"/>
        </w:rPr>
      </w:pPr>
    </w:p>
    <w:p w:rsidR="00D17B9B" w:rsidRDefault="00D17B9B" w:rsidP="00D17B9B">
      <w:pPr>
        <w:pStyle w:val="Style6"/>
        <w:widowControl/>
        <w:spacing w:line="264" w:lineRule="exact"/>
        <w:ind w:left="725" w:firstLine="0"/>
        <w:rPr>
          <w:rStyle w:val="FontStyle11"/>
        </w:rPr>
      </w:pPr>
      <w:r>
        <w:rPr>
          <w:rStyle w:val="FontStyle12"/>
        </w:rPr>
        <w:t xml:space="preserve">ZKR Sp. z o.o., </w:t>
      </w:r>
      <w:proofErr w:type="spellStart"/>
      <w:r>
        <w:rPr>
          <w:rStyle w:val="FontStyle11"/>
        </w:rPr>
        <w:t>ul.Poznańska</w:t>
      </w:r>
      <w:proofErr w:type="spellEnd"/>
      <w:r>
        <w:rPr>
          <w:rStyle w:val="FontStyle11"/>
        </w:rPr>
        <w:t xml:space="preserve"> 354, 05-850 Ożarów Mazowiecki</w:t>
      </w:r>
    </w:p>
    <w:p w:rsidR="00D17B9B" w:rsidRDefault="00D17B9B" w:rsidP="00D17B9B"/>
    <w:p w:rsidR="00D17B9B" w:rsidRDefault="00D17B9B" w:rsidP="00D17B9B">
      <w:r w:rsidRPr="00A371F7">
        <w:lastRenderedPageBreak/>
        <w:t>Złożone oferty uzyskały następującą ocenę punktową</w:t>
      </w:r>
      <w:r>
        <w:t xml:space="preserve"> w kryteriach oceny ofert: </w:t>
      </w:r>
    </w:p>
    <w:p w:rsidR="00D17B9B" w:rsidRDefault="00D17B9B" w:rsidP="00D17B9B">
      <w:pPr>
        <w:pStyle w:val="Bezodstpw"/>
      </w:pPr>
      <w:r>
        <w:t xml:space="preserve">Oferta Nr 1  </w:t>
      </w:r>
    </w:p>
    <w:p w:rsidR="00D17B9B" w:rsidRDefault="00D17B9B" w:rsidP="00D17B9B">
      <w:pPr>
        <w:pStyle w:val="Bezodstpw"/>
      </w:pPr>
      <w:r>
        <w:t>Cena – 52,67 pkt.</w:t>
      </w:r>
    </w:p>
    <w:p w:rsidR="00D17B9B" w:rsidRDefault="00D17B9B" w:rsidP="00D17B9B">
      <w:pPr>
        <w:pStyle w:val="Bezodstpw"/>
      </w:pPr>
      <w:r>
        <w:t>Okres gwarancji i rękojmi -  40 pkt.</w:t>
      </w:r>
    </w:p>
    <w:p w:rsidR="00D17B9B" w:rsidRDefault="00D17B9B" w:rsidP="00D17B9B">
      <w:pPr>
        <w:pStyle w:val="Bezodstpw"/>
      </w:pPr>
      <w:r>
        <w:t xml:space="preserve">Razem 92,67 pkt. </w:t>
      </w:r>
    </w:p>
    <w:p w:rsidR="00D17B9B" w:rsidRDefault="00D17B9B" w:rsidP="00D17B9B"/>
    <w:p w:rsidR="00D17B9B" w:rsidRDefault="00D17B9B" w:rsidP="00D17B9B">
      <w:pPr>
        <w:pStyle w:val="Bezodstpw"/>
      </w:pPr>
      <w:r>
        <w:t xml:space="preserve">Oferta Nr 2  </w:t>
      </w:r>
    </w:p>
    <w:p w:rsidR="00D17B9B" w:rsidRDefault="00D17B9B" w:rsidP="00D17B9B">
      <w:pPr>
        <w:pStyle w:val="Bezodstpw"/>
      </w:pPr>
      <w:r>
        <w:t>Cena – 48,80 pkt.</w:t>
      </w:r>
    </w:p>
    <w:p w:rsidR="00D17B9B" w:rsidRDefault="00D17B9B" w:rsidP="00D17B9B">
      <w:pPr>
        <w:pStyle w:val="Bezodstpw"/>
      </w:pPr>
      <w:r>
        <w:t>Okres gwarancji  i rękojmi – 40 pkt.</w:t>
      </w:r>
    </w:p>
    <w:p w:rsidR="00D17B9B" w:rsidRPr="000413F7" w:rsidRDefault="00D17B9B" w:rsidP="00D17B9B">
      <w:pPr>
        <w:pStyle w:val="Bezodstpw"/>
      </w:pPr>
      <w:r>
        <w:t xml:space="preserve">Razem 88,80 pkt. </w:t>
      </w:r>
    </w:p>
    <w:p w:rsidR="00C45A73" w:rsidRDefault="00C45A73" w:rsidP="00D17B9B">
      <w:pPr>
        <w:pStyle w:val="Bezodstpw"/>
      </w:pPr>
    </w:p>
    <w:p w:rsidR="00D17B9B" w:rsidRDefault="00D17B9B" w:rsidP="00D17B9B">
      <w:pPr>
        <w:pStyle w:val="Bezodstpw"/>
      </w:pPr>
      <w:r>
        <w:t xml:space="preserve">Oferta Nr 3  </w:t>
      </w:r>
    </w:p>
    <w:p w:rsidR="00D17B9B" w:rsidRDefault="00D17B9B" w:rsidP="00D17B9B">
      <w:pPr>
        <w:pStyle w:val="Bezodstpw"/>
      </w:pPr>
      <w:r>
        <w:t>cena - 60 pkt.</w:t>
      </w:r>
    </w:p>
    <w:p w:rsidR="00D17B9B" w:rsidRDefault="00D17B9B" w:rsidP="00D17B9B">
      <w:pPr>
        <w:pStyle w:val="Bezodstpw"/>
      </w:pPr>
      <w:r>
        <w:t>okres gwarancji i rękojmi - 40 pkt.</w:t>
      </w:r>
    </w:p>
    <w:p w:rsidR="00D17B9B" w:rsidRDefault="00D17B9B" w:rsidP="00D17B9B">
      <w:pPr>
        <w:pStyle w:val="Bezodstpw"/>
      </w:pPr>
      <w:r>
        <w:t>Razem 100 pkt.</w:t>
      </w:r>
    </w:p>
    <w:p w:rsidR="00D17B9B" w:rsidRDefault="00D17B9B" w:rsidP="00D17B9B"/>
    <w:p w:rsidR="00D17B9B" w:rsidRDefault="00D17B9B" w:rsidP="00D17B9B">
      <w:pPr>
        <w:pStyle w:val="Bezodstpw"/>
      </w:pPr>
      <w:r>
        <w:t>Oferta Nr 4</w:t>
      </w:r>
    </w:p>
    <w:p w:rsidR="00D17B9B" w:rsidRDefault="00D17B9B" w:rsidP="00D17B9B">
      <w:pPr>
        <w:pStyle w:val="Bezodstpw"/>
      </w:pPr>
      <w:r>
        <w:t>Cena – 54,62 pkt.</w:t>
      </w:r>
    </w:p>
    <w:p w:rsidR="00D17B9B" w:rsidRDefault="00D17B9B" w:rsidP="00D17B9B">
      <w:pPr>
        <w:pStyle w:val="Bezodstpw"/>
      </w:pPr>
      <w:r>
        <w:t xml:space="preserve">Okres gwarancji i rękojmi – 40 pkt. </w:t>
      </w:r>
    </w:p>
    <w:p w:rsidR="00D17B9B" w:rsidRDefault="00D17B9B" w:rsidP="00D17B9B">
      <w:pPr>
        <w:pStyle w:val="Bezodstpw"/>
      </w:pPr>
      <w:r>
        <w:t xml:space="preserve">Razem 94,62 pkt. </w:t>
      </w:r>
    </w:p>
    <w:p w:rsidR="00D17B9B" w:rsidRDefault="00D17B9B" w:rsidP="00D17B9B"/>
    <w:p w:rsidR="00B47BFF" w:rsidRPr="00DC59E7" w:rsidRDefault="00B47BFF" w:rsidP="00B47BFF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35820" w:rsidRDefault="00C35820" w:rsidP="00C35820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rFonts w:cs="Calibri"/>
        </w:rPr>
      </w:pPr>
    </w:p>
    <w:sectPr w:rsidR="00C35820" w:rsidSect="00F050D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2E" w:rsidRDefault="0054282E" w:rsidP="00D52422">
      <w:pPr>
        <w:spacing w:after="0" w:line="240" w:lineRule="auto"/>
      </w:pPr>
      <w:r>
        <w:separator/>
      </w:r>
    </w:p>
  </w:endnote>
  <w:endnote w:type="continuationSeparator" w:id="0">
    <w:p w:rsidR="0054282E" w:rsidRDefault="0054282E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2E" w:rsidRDefault="0054282E" w:rsidP="00D52422">
      <w:pPr>
        <w:spacing w:after="0" w:line="240" w:lineRule="auto"/>
      </w:pPr>
      <w:r>
        <w:separator/>
      </w:r>
    </w:p>
  </w:footnote>
  <w:footnote w:type="continuationSeparator" w:id="0">
    <w:p w:rsidR="0054282E" w:rsidRDefault="0054282E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64D8"/>
    <w:multiLevelType w:val="hybridMultilevel"/>
    <w:tmpl w:val="C3AC4232"/>
    <w:lvl w:ilvl="0" w:tplc="F0E891B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1E43"/>
    <w:multiLevelType w:val="hybridMultilevel"/>
    <w:tmpl w:val="5BDC84BC"/>
    <w:lvl w:ilvl="0" w:tplc="74E871A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9F5879"/>
    <w:multiLevelType w:val="hybridMultilevel"/>
    <w:tmpl w:val="11CE6D68"/>
    <w:lvl w:ilvl="0" w:tplc="E26CE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34760"/>
    <w:multiLevelType w:val="hybridMultilevel"/>
    <w:tmpl w:val="D72C3E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10657"/>
    <w:multiLevelType w:val="hybridMultilevel"/>
    <w:tmpl w:val="B99AF046"/>
    <w:lvl w:ilvl="0" w:tplc="6C266B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0AD2A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03D1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CA38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92F07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8BC3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26D3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700DD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4AE6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2E75B1"/>
    <w:multiLevelType w:val="hybridMultilevel"/>
    <w:tmpl w:val="B8E6C202"/>
    <w:lvl w:ilvl="0" w:tplc="3872D9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62E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D8AA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8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6C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C1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82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818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8B4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A5778"/>
    <w:rsid w:val="000B0421"/>
    <w:rsid w:val="000D6447"/>
    <w:rsid w:val="000E4BD3"/>
    <w:rsid w:val="000E70B4"/>
    <w:rsid w:val="0010566B"/>
    <w:rsid w:val="001210E4"/>
    <w:rsid w:val="00175941"/>
    <w:rsid w:val="00175DE0"/>
    <w:rsid w:val="001E5C93"/>
    <w:rsid w:val="001E66E4"/>
    <w:rsid w:val="00290BE9"/>
    <w:rsid w:val="002A35F3"/>
    <w:rsid w:val="002B051A"/>
    <w:rsid w:val="003173FE"/>
    <w:rsid w:val="00341CF5"/>
    <w:rsid w:val="00356FCA"/>
    <w:rsid w:val="003937BB"/>
    <w:rsid w:val="003A0C18"/>
    <w:rsid w:val="003B72B4"/>
    <w:rsid w:val="003E4B5E"/>
    <w:rsid w:val="00463008"/>
    <w:rsid w:val="0047544B"/>
    <w:rsid w:val="00483E7D"/>
    <w:rsid w:val="004A0DAD"/>
    <w:rsid w:val="004B543E"/>
    <w:rsid w:val="004F05FF"/>
    <w:rsid w:val="004F234C"/>
    <w:rsid w:val="00541B0D"/>
    <w:rsid w:val="0054282E"/>
    <w:rsid w:val="00586A48"/>
    <w:rsid w:val="005A431A"/>
    <w:rsid w:val="005A5313"/>
    <w:rsid w:val="00665261"/>
    <w:rsid w:val="00676821"/>
    <w:rsid w:val="00681591"/>
    <w:rsid w:val="006A088E"/>
    <w:rsid w:val="0072685D"/>
    <w:rsid w:val="0079666F"/>
    <w:rsid w:val="007A7B89"/>
    <w:rsid w:val="007C0F36"/>
    <w:rsid w:val="00805B19"/>
    <w:rsid w:val="00811E18"/>
    <w:rsid w:val="00815E43"/>
    <w:rsid w:val="008D19FC"/>
    <w:rsid w:val="009371D6"/>
    <w:rsid w:val="00984358"/>
    <w:rsid w:val="009A094E"/>
    <w:rsid w:val="009B3147"/>
    <w:rsid w:val="009B6535"/>
    <w:rsid w:val="009C097E"/>
    <w:rsid w:val="009F0889"/>
    <w:rsid w:val="009F2A59"/>
    <w:rsid w:val="00A35436"/>
    <w:rsid w:val="00A35471"/>
    <w:rsid w:val="00A54608"/>
    <w:rsid w:val="00A712DC"/>
    <w:rsid w:val="00A84E2F"/>
    <w:rsid w:val="00AE1A20"/>
    <w:rsid w:val="00B171B4"/>
    <w:rsid w:val="00B21F10"/>
    <w:rsid w:val="00B47AD4"/>
    <w:rsid w:val="00B47BFF"/>
    <w:rsid w:val="00B67D40"/>
    <w:rsid w:val="00B77635"/>
    <w:rsid w:val="00B85E53"/>
    <w:rsid w:val="00BD5EEF"/>
    <w:rsid w:val="00C248E9"/>
    <w:rsid w:val="00C24DB1"/>
    <w:rsid w:val="00C35820"/>
    <w:rsid w:val="00C45A73"/>
    <w:rsid w:val="00C56E36"/>
    <w:rsid w:val="00CA2AB9"/>
    <w:rsid w:val="00CD1946"/>
    <w:rsid w:val="00CD4D65"/>
    <w:rsid w:val="00D17B9B"/>
    <w:rsid w:val="00D33588"/>
    <w:rsid w:val="00D50778"/>
    <w:rsid w:val="00D52422"/>
    <w:rsid w:val="00D808D4"/>
    <w:rsid w:val="00D87A2E"/>
    <w:rsid w:val="00D92A71"/>
    <w:rsid w:val="00DC2BB6"/>
    <w:rsid w:val="00DF0A4C"/>
    <w:rsid w:val="00E22988"/>
    <w:rsid w:val="00E3013F"/>
    <w:rsid w:val="00E37988"/>
    <w:rsid w:val="00E44492"/>
    <w:rsid w:val="00E57F12"/>
    <w:rsid w:val="00E70824"/>
    <w:rsid w:val="00E9553A"/>
    <w:rsid w:val="00ED0212"/>
    <w:rsid w:val="00EE2BAD"/>
    <w:rsid w:val="00F00441"/>
    <w:rsid w:val="00F050D8"/>
    <w:rsid w:val="00F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Akapitzlist">
    <w:name w:val="List Paragraph"/>
    <w:basedOn w:val="Normalny"/>
    <w:uiPriority w:val="34"/>
    <w:qFormat/>
    <w:rsid w:val="00B47B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7BFF"/>
    <w:rPr>
      <w:lang w:eastAsia="en-US"/>
    </w:rPr>
  </w:style>
  <w:style w:type="paragraph" w:styleId="Tekstpodstawowy">
    <w:name w:val="Body Text"/>
    <w:basedOn w:val="Normalny"/>
    <w:link w:val="TekstpodstawowyZnak"/>
    <w:rsid w:val="00B47B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BF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483E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4" w:lineRule="exact"/>
    </w:pPr>
    <w:rPr>
      <w:rFonts w:eastAsia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7" w:lineRule="exact"/>
      <w:ind w:firstLine="725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533" w:lineRule="exact"/>
      <w:ind w:firstLine="720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D17B9B"/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D17B9B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2</cp:revision>
  <cp:lastPrinted>2016-09-02T09:40:00Z</cp:lastPrinted>
  <dcterms:created xsi:type="dcterms:W3CDTF">2016-09-02T09:44:00Z</dcterms:created>
  <dcterms:modified xsi:type="dcterms:W3CDTF">2016-09-02T09:44:00Z</dcterms:modified>
</cp:coreProperties>
</file>